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C307" w14:textId="77777777" w:rsidR="009A78D3" w:rsidRDefault="004D42BC">
      <w:pPr>
        <w:pStyle w:val="Title"/>
      </w:pPr>
      <w:r>
        <w:t>Technische en organisatorische maatregelen (TOM's)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9A78D3" w14:paraId="7C281FDE" w14:textId="77777777">
        <w:tc>
          <w:tcPr>
            <w:tcW w:w="5100" w:type="dxa"/>
            <w:shd w:val="clear" w:color="auto" w:fill="F7F2E8"/>
          </w:tcPr>
          <w:p w14:paraId="5D05A81A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Status</w:t>
            </w:r>
          </w:p>
        </w:tc>
        <w:tc>
          <w:tcPr>
            <w:tcW w:w="5100" w:type="dxa"/>
          </w:tcPr>
          <w:p w14:paraId="3D0ECF01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Geldend leveranciersdocument</w:t>
            </w:r>
          </w:p>
        </w:tc>
      </w:tr>
      <w:tr w:rsidR="009A78D3" w14:paraId="7BEA074C" w14:textId="77777777">
        <w:tc>
          <w:tcPr>
            <w:tcW w:w="5100" w:type="dxa"/>
            <w:shd w:val="clear" w:color="auto" w:fill="F7F2E8"/>
          </w:tcPr>
          <w:p w14:paraId="2A5B84EE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Versie / uitgiftedatum</w:t>
            </w:r>
          </w:p>
        </w:tc>
        <w:tc>
          <w:tcPr>
            <w:tcW w:w="5100" w:type="dxa"/>
          </w:tcPr>
          <w:p w14:paraId="14076CEA" w14:textId="77777777" w:rsidR="009A78D3" w:rsidRDefault="00BB5F73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1.1 / 26 september 2026</w:t>
            </w:r>
          </w:p>
        </w:tc>
      </w:tr>
      <w:tr w:rsidR="009A78D3" w14:paraId="74778057" w14:textId="77777777">
        <w:tc>
          <w:tcPr>
            <w:tcW w:w="5100" w:type="dxa"/>
            <w:shd w:val="clear" w:color="auto" w:fill="F7F2E8"/>
          </w:tcPr>
          <w:p w14:paraId="5C26FAF3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Documenteigenaar</w:t>
            </w:r>
          </w:p>
        </w:tc>
        <w:tc>
          <w:tcPr>
            <w:tcW w:w="5100" w:type="dxa"/>
          </w:tcPr>
          <w:p w14:paraId="5E761E5B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Schmeitzke, handelend onder de namen Summa en Summa Labs</w:t>
            </w:r>
          </w:p>
        </w:tc>
      </w:tr>
      <w:tr w:rsidR="009A78D3" w14:paraId="3D81D9A7" w14:textId="77777777">
        <w:tc>
          <w:tcPr>
            <w:tcW w:w="5100" w:type="dxa"/>
            <w:shd w:val="clear" w:color="auto" w:fill="F7F2E8"/>
          </w:tcPr>
          <w:p w14:paraId="27839067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b/>
                <w:color w:val="3A5A78"/>
                <w:sz w:val="17"/>
              </w:rPr>
              <w:t>Classificatie</w:t>
            </w:r>
          </w:p>
        </w:tc>
        <w:tc>
          <w:tcPr>
            <w:tcW w:w="5100" w:type="dxa"/>
          </w:tcPr>
          <w:p w14:paraId="7D479090" w14:textId="77777777" w:rsidR="009A78D3" w:rsidRDefault="004D42BC">
            <w:pPr>
              <w:spacing w:after="0"/>
              <w:rPr>
                <w:rFonts w:hint="eastAsia"/>
              </w:rPr>
            </w:pPr>
            <w:r>
              <w:rPr>
                <w:sz w:val="17"/>
              </w:rPr>
              <w:t>Publiek / due diligence</w:t>
            </w:r>
          </w:p>
        </w:tc>
      </w:tr>
    </w:tbl>
    <w:p w14:paraId="3987A087" w14:textId="77777777" w:rsidR="009A78D3" w:rsidRDefault="009A78D3">
      <w:pPr>
        <w:rPr>
          <w:rFonts w:hint="eastAsia"/>
        </w:rPr>
      </w:pPr>
    </w:p>
    <w:p w14:paraId="2326321D" w14:textId="77777777" w:rsidR="009A78D3" w:rsidRDefault="004D42BC">
      <w:pPr>
        <w:pStyle w:val="Heading1"/>
      </w:pPr>
      <w:r>
        <w:t>1. Reikwijdte</w:t>
      </w:r>
    </w:p>
    <w:p w14:paraId="0B5D3890" w14:textId="77777777" w:rsidR="009A78D3" w:rsidRDefault="004D42BC">
      <w:pPr>
        <w:rPr>
          <w:rFonts w:hint="eastAsia"/>
        </w:rPr>
      </w:pPr>
      <w:r>
        <w:t>Deze maatregelen beschrijven het aantoonbare beveiligingsniveau van de actuele Summa-dienst. Zij zijn bedoeld als AVG artikel 32-bijlage, leveranciersbewijs en basis voor gemeentelijke securityreviews. Een maatregel wordt alleen als geïmplementeerd beschreven wanneer deze in de huidige code/configuratie aantoonbaar aanwezig is; gewenste verbeteringen staan expliciet als open actie.</w:t>
      </w:r>
    </w:p>
    <w:p w14:paraId="124F9E5E" w14:textId="77777777" w:rsidR="009A78D3" w:rsidRDefault="004D42BC">
      <w:pPr>
        <w:pStyle w:val="Heading1"/>
      </w:pPr>
      <w:r>
        <w:t>2. Identiteit en authenticatie</w:t>
      </w:r>
    </w:p>
    <w:p w14:paraId="137B3C84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Authenticatie verloopt via een zelfgehoste ZITADEL-identityservice binnen de Summa-infrastructuur.</w:t>
      </w:r>
    </w:p>
    <w:p w14:paraId="79CD488D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Unieke accounts en rolgebaseerde autorisatie zijn verplicht voor werkruimten en beheerfuncties.</w:t>
      </w:r>
    </w:p>
    <w:p w14:paraId="536536B1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Het eigenaar-/platformbeheervlak is uitsluitend bereikbaar op een private Tailscale-host, vereist de platform_admin-rol en dwingt MFA af.</w:t>
      </w:r>
    </w:p>
    <w:p w14:paraId="6CF00CAC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Platformbrede MFA-enforcement voor alle gewone accounts staat op uitgiftdatum uit. Zakelijke/overheidsproductie moet daarom MFA via het gekozen identity-/SSO-profiel verplicht stellen voordat gevoelige data wordt toegelaten.</w:t>
      </w:r>
    </w:p>
    <w:p w14:paraId="502323A9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Development login is in productie uitgeschakeld.</w:t>
      </w:r>
    </w:p>
    <w:p w14:paraId="6F1BE9ED" w14:textId="77777777" w:rsidR="009A78D3" w:rsidRDefault="004D42BC">
      <w:pPr>
        <w:pStyle w:val="Heading1"/>
      </w:pPr>
      <w:r>
        <w:t>3. Tenantisolatie en autorisatie</w:t>
      </w:r>
    </w:p>
    <w:p w14:paraId="1CEA19A4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De FastAPI-backend is de beleidsgrens: browserclients krijgen geen directe toegang tot database/modelservers.</w:t>
      </w:r>
    </w:p>
    <w:p w14:paraId="5BE67BD2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PostgreSQL Row Level Security en tenantcontext beperken data tot de actuele tenant.</w:t>
      </w:r>
    </w:p>
    <w:p w14:paraId="34291FED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Applicatielaagautoriteit controleert aanvullend gebruikers-, tenant-, workspace- en roomrechten.</w:t>
      </w:r>
    </w:p>
    <w:p w14:paraId="28BA8B82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Gedeelde rooms gebruiken expliciete membership/roles; cross-tenant toegang wordt slechts via één gecontroleerde resolutieroute toegestaan.</w:t>
      </w:r>
    </w:p>
    <w:p w14:paraId="1786CDD9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Connectoren vereisen waar van toepassing deployment featuregate, tenantbeleid, access profile en per-user providerautorisatie.</w:t>
      </w:r>
    </w:p>
    <w:p w14:paraId="2993CC95" w14:textId="77777777" w:rsidR="009A78D3" w:rsidRDefault="004D42BC">
      <w:pPr>
        <w:pStyle w:val="Heading1"/>
      </w:pPr>
      <w:r>
        <w:t>4. Versleuteling en sleutelbeheer</w:t>
      </w:r>
    </w:p>
    <w:p w14:paraId="261C464C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Publieke verbindingen gebruiken TLS.</w:t>
      </w:r>
    </w:p>
    <w:p w14:paraId="25C1A71B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Gevoelige velden en tenantgebonden gegevensklassen worden applicatief versleuteld; tenant-scoped encryption is in productie verplicht.</w:t>
      </w:r>
    </w:p>
    <w:p w14:paraId="113473F4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Secrets worden niet in ConfigMaps geplaatst wanneer zij geheim zijn; productiecredentials worden via versleutelde Kubernetes/SOPS secretbestanden geïnjecteerd.</w:t>
      </w:r>
    </w:p>
    <w:p w14:paraId="24511383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CI genereert tijdelijke test-encryptiesleutels en weigert bekende credentialbestanden in de repository.</w:t>
      </w:r>
    </w:p>
    <w:p w14:paraId="55664116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Voor een volledige cryptografische lifecycle worden sleutelrotatie, noodrotatie, keycustody en periodieke review volgens document 13 uitgevoerd.</w:t>
      </w:r>
    </w:p>
    <w:p w14:paraId="4EDBC12F" w14:textId="77777777" w:rsidR="009A78D3" w:rsidRDefault="004D42BC">
      <w:pPr>
        <w:pStyle w:val="Heading1"/>
      </w:pPr>
      <w:r>
        <w:t>5. Netwerkbeveiliging</w:t>
      </w:r>
    </w:p>
    <w:p w14:paraId="5F8EF9E5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Externe route: Leafcloud load balancer -&gt; ingress-nginx -&gt; Next.js -&gt; FastAPI.</w:t>
      </w:r>
    </w:p>
    <w:p w14:paraId="0B15AD85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Databases, caches, modelgateways en interne toolservices hebben geen gewone publieke browserroute.</w:t>
      </w:r>
    </w:p>
    <w:p w14:paraId="59AE8D4C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Kubernetes network policies beperken service-to-service verkeer; geïsoleerde Python jobs draaien in een afzonderlijke namespace met default-deny ingress/egress.</w:t>
      </w:r>
    </w:p>
    <w:p w14:paraId="186F8F7A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De web-retrievalbroker concentreert internet-egress en blokkeert SSRF via schemecontrole, DNS/IP-validatie, private/metadata-adresblokkade, IP-pinning, redirectherbeoordeling, bodylimieten en timeouts.</w:t>
      </w:r>
    </w:p>
    <w:p w14:paraId="0AE00042" w14:textId="77777777" w:rsidR="009A78D3" w:rsidRDefault="004D42BC">
      <w:pPr>
        <w:pStyle w:val="Heading1"/>
      </w:pPr>
      <w:r>
        <w:lastRenderedPageBreak/>
        <w:t>6. Upload- en contentbeveiliging</w:t>
      </w:r>
    </w:p>
    <w:p w14:paraId="4E769BA6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Uploads gaan via de geauthenticeerde applicatieboundary naar private objectstorage.</w:t>
      </w:r>
    </w:p>
    <w:p w14:paraId="373E0792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ClamAV-scanning is in productie vereist voordat uploads worden gebruikt.</w:t>
      </w:r>
    </w:p>
    <w:p w14:paraId="61B544D4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Tika/OCR heeft limieten op bestandsgrootte, geëxtraheerde tekst, pagina's, OCR-pages en timeouts om decompression/parser denial-of-service te beperken.</w:t>
      </w:r>
    </w:p>
    <w:p w14:paraId="021E5C3A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Archive-expansie en file-aantallen zijn begrensd.</w:t>
      </w:r>
    </w:p>
    <w:p w14:paraId="61C4BD10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Externe/imported documenten worden als onbetrouwbare input behandeld; zij krijgen geen implicit tool-/systeemautoriteit.</w:t>
      </w:r>
    </w:p>
    <w:p w14:paraId="5395FE28" w14:textId="77777777" w:rsidR="009A78D3" w:rsidRDefault="004D42BC">
      <w:pPr>
        <w:pStyle w:val="Heading1"/>
      </w:pPr>
      <w:r>
        <w:t>7. Geïsoleerde code-uitvoering</w:t>
      </w:r>
    </w:p>
    <w:p w14:paraId="3C44323A" w14:textId="77777777" w:rsidR="009A78D3" w:rsidRDefault="004D42BC">
      <w:pPr>
        <w:rPr>
          <w:rFonts w:hint="eastAsia"/>
        </w:rPr>
      </w:pPr>
      <w:r>
        <w:t>De Python tool draait in een tijdelijke runtime zonder netwerktoegang, persistent volume, secrets, Kubernetes token, runtime package-installatie of schrijfbare root filesystem. CPU, geheugen, looptijd, stdout/stderr en tijdelijke opslag zijn begrensd. De controller heeft alleen namespaced RBAC dat nodig is om deze tijdelijke pods te beheren; runtimepods gebruiken Restricted Pod Security en default-deny netwerkbeleid.</w:t>
      </w:r>
    </w:p>
    <w:p w14:paraId="1F47B1EA" w14:textId="77777777" w:rsidR="009A78D3" w:rsidRDefault="004D42BC">
      <w:pPr>
        <w:pStyle w:val="Heading1"/>
      </w:pPr>
      <w:r>
        <w:t>8. Secure development en CI</w:t>
      </w:r>
    </w:p>
    <w:p w14:paraId="1C81257E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Pull/push-CI lint, typecheckt en test relevante backend/frontend/microservices.</w:t>
      </w:r>
    </w:p>
    <w:p w14:paraId="21881131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Database-migraties en schema compatibility worden geverifieerd vóór imagepromotie.</w:t>
      </w:r>
    </w:p>
    <w:p w14:paraId="7C084409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Gitleaks scant volledige relevante Git-historie op secrets.</w:t>
      </w:r>
    </w:p>
    <w:p w14:paraId="64271929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pip-audit en npm audit controleren dependencykwetsbaarheden.</w:t>
      </w:r>
    </w:p>
    <w:p w14:paraId="4AFD1887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Trivy scant repository en productieimages op HIGH/CRITICAL kwetsbaarheden en faalt de build bij toepasselijke findings.</w:t>
      </w:r>
    </w:p>
    <w:p w14:paraId="6AA2DCB1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CycloneDX-SBOM's worden voor backend/frontend-images gegenereerd en 365 dagen als CI-artifact bewaard.</w:t>
      </w:r>
    </w:p>
    <w:p w14:paraId="04F9507D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OSV Scanner vormt een tweede CVE-gate op de SBOM's.</w:t>
      </w:r>
    </w:p>
    <w:p w14:paraId="6B918B3F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Container/images worden waar in manifests zichtbaar via digests gepind.</w:t>
      </w:r>
    </w:p>
    <w:p w14:paraId="4997E6CC" w14:textId="77777777" w:rsidR="009A78D3" w:rsidRDefault="004D42BC">
      <w:pPr>
        <w:pStyle w:val="Heading1"/>
      </w:pPr>
      <w:r>
        <w:t>9. Logging en audit</w:t>
      </w:r>
    </w:p>
    <w:p w14:paraId="637E0423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Security- en beheeracties worden gelogd; prompt/responsecontent wordt niet als gewone observabilitypayload gelogd.</w:t>
      </w:r>
    </w:p>
    <w:p w14:paraId="74719F5C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Auditrecords zijn tenantgebonden en gevoelige details kunnen versleuteld zijn.</w:t>
      </w:r>
    </w:p>
    <w:p w14:paraId="45FB74CC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De applicatie ondersteunt een auditketen; externe digest-signing staat op uitgiftedatum uit. Daarom wordt geen extern cryptografisch onveranderlijk auditbewijs geclaimd.</w:t>
      </w:r>
    </w:p>
    <w:p w14:paraId="5ABC90FF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Ruwe cookieless websiteanalytics bewaren geen IP en geen identifier die langer dan de dag voortleeft volgens de huidige implementatie; ruwe events maximaal 90 dagen.</w:t>
      </w:r>
    </w:p>
    <w:p w14:paraId="0F136D24" w14:textId="77777777" w:rsidR="009A78D3" w:rsidRDefault="004D42BC">
      <w:pPr>
        <w:pStyle w:val="Heading1"/>
      </w:pPr>
      <w:r>
        <w:t>10. Malware-, vulnerability- en patchmanagement</w:t>
      </w:r>
    </w:p>
    <w:p w14:paraId="774EC422" w14:textId="77777777" w:rsidR="009A78D3" w:rsidRDefault="004D42BC">
      <w:pPr>
        <w:rPr>
          <w:rFonts w:hint="eastAsia"/>
        </w:rPr>
      </w:pPr>
      <w:r>
        <w:t>Nieuwe HIGH/CRITICAL dependency-/imagekwetsbaarheden blokkeren de CI waar de workflow ze als fixable/relevant detecteert. Productiepatches worden op ernst, exploitability, exposure en beschikbaarheid van fix beoordeeld. Kritieke actief misbruikte kwetsbaarheden krijgen voorrang boven gewone releaseplanning. Zie document 14.</w:t>
      </w:r>
    </w:p>
    <w:p w14:paraId="23C74630" w14:textId="77777777" w:rsidR="009A78D3" w:rsidRDefault="004D42BC">
      <w:pPr>
        <w:pStyle w:val="Heading1"/>
      </w:pPr>
      <w:r>
        <w:t>11. Incidentrespons</w:t>
      </w:r>
    </w:p>
    <w:p w14:paraId="2EDC6067" w14:textId="5050F3EC" w:rsidR="009A78D3" w:rsidRDefault="004D42BC">
      <w:pPr>
        <w:rPr>
          <w:rFonts w:hint="eastAsia"/>
        </w:rPr>
      </w:pPr>
      <w:r>
        <w:t xml:space="preserve">Securitymeldingen: </w:t>
      </w:r>
      <w:r w:rsidR="00BB5F73">
        <w:t>info@summalabs.ai</w:t>
      </w:r>
      <w:r>
        <w:t>. Incidenten worden geregistreerd, geclassificeerd, ingedamd, onderzocht en afgesloten met root cause en corrective actions. Processorincidenten krijgen een interne klantmeldingsdoelstelling van 24 uur na bevestiging; wettelijke termijnen blijven leidend. Zie document 15.</w:t>
      </w:r>
    </w:p>
    <w:p w14:paraId="576B1566" w14:textId="77777777" w:rsidR="009A78D3" w:rsidRDefault="004D42BC">
      <w:pPr>
        <w:pStyle w:val="Heading1"/>
      </w:pPr>
      <w:r>
        <w:t>12. Beschikbaarheid, backup en herstel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0"/>
      </w:tblGrid>
      <w:tr w:rsidR="009A78D3" w14:paraId="01C80EAC" w14:textId="77777777">
        <w:tc>
          <w:tcPr>
            <w:tcW w:w="10200" w:type="dxa"/>
            <w:shd w:val="clear" w:color="auto" w:fill="F8EDE8"/>
          </w:tcPr>
          <w:p w14:paraId="4220DCEC" w14:textId="77777777" w:rsidR="009A78D3" w:rsidRDefault="00BB5F73">
            <w:pPr>
              <w:spacing w:after="0"/>
              <w:rPr>
                <w:rFonts w:hint="eastAsia"/>
              </w:rPr>
            </w:pPr>
            <w:r>
              <w:rPr>
                <w:rFonts w:hint="eastAsia"/>
                <w:b/>
                <w:color w:val="9B2C2C"/>
                <w:sz w:val="18"/>
              </w:rPr>
              <w:t>Dagelijks worden logische PostgreSQL-backups gemaakt naar Leafcloud-objectopslag in Nederland. Herstel is nog niet met een hersteltest aangetoond; daarom geldt tijdens de gesloten bèta geen herstelgarantie, claimt Summa geen productie-RPO/RTO</w:t>
            </w:r>
            <w:r w:rsidR="004D42BC">
              <w:rPr>
                <w:b/>
                <w:color w:val="9B2C2C"/>
                <w:sz w:val="18"/>
              </w:rPr>
              <w:t xml:space="preserve"> en mag de omgeving niet de enige opslag zijn van informatie die niet verloren mag gaan.</w:t>
            </w:r>
          </w:p>
        </w:tc>
      </w:tr>
    </w:tbl>
    <w:p w14:paraId="72E79427" w14:textId="77777777" w:rsidR="009A78D3" w:rsidRDefault="009A78D3">
      <w:pPr>
        <w:rPr>
          <w:rFonts w:hint="eastAsia"/>
        </w:rPr>
      </w:pPr>
    </w:p>
    <w:p w14:paraId="392B9ACD" w14:textId="77777777" w:rsidR="009A78D3" w:rsidRDefault="00BB5F73">
      <w:pPr>
        <w:rPr>
          <w:rFonts w:hint="eastAsia"/>
        </w:rPr>
      </w:pPr>
      <w:r>
        <w:rPr>
          <w:rFonts w:hint="eastAsia"/>
        </w:rPr>
        <w:t>Vóór productievrijgave moeten de backups versleuteld, logisch gescheiden en aantoonbaar herstelbaar zijn;</w:t>
      </w:r>
      <w:r w:rsidR="004D42BC">
        <w:t xml:space="preserve"> een echte restore drill is de acceptatievoorwaarde. Zie document 15.</w:t>
      </w:r>
    </w:p>
    <w:p w14:paraId="58DE73FA" w14:textId="77777777" w:rsidR="009A78D3" w:rsidRDefault="004D42BC">
      <w:pPr>
        <w:pStyle w:val="Heading1"/>
      </w:pPr>
      <w:r>
        <w:lastRenderedPageBreak/>
        <w:t>13. Verwijdering</w:t>
      </w:r>
    </w:p>
    <w:p w14:paraId="69141EED" w14:textId="77777777" w:rsidR="009A78D3" w:rsidRDefault="004D42BC">
      <w:pPr>
        <w:rPr>
          <w:rFonts w:hint="eastAsia"/>
        </w:rPr>
      </w:pPr>
      <w:r>
        <w:t>Account-/tenantverwijdering gebruikt een durable erasure-receipt met retries voor componenten zoals PostgreSQL, Redis, identity en observability. Bestanden worden via deletion queues uit objectstorage verwijderd. Retentiepurges zijn tenantaware en tijdelijke chats hebben een aparte max-24h purge.</w:t>
      </w:r>
    </w:p>
    <w:p w14:paraId="43F35386" w14:textId="77777777" w:rsidR="009A78D3" w:rsidRDefault="004D42BC">
      <w:pPr>
        <w:pStyle w:val="Heading1"/>
      </w:pPr>
      <w:r>
        <w:t>14. Security-openpunten vóór gemeentelijke productie</w:t>
      </w:r>
    </w:p>
    <w:p w14:paraId="68D804F5" w14:textId="1F1639B5" w:rsidR="009A78D3" w:rsidRDefault="00BB5F73">
      <w:pPr>
        <w:pStyle w:val="ListBullet"/>
        <w:spacing w:after="40"/>
        <w:ind w:left="227"/>
        <w:rPr>
          <w:rFonts w:hint="eastAsia"/>
        </w:rPr>
      </w:pPr>
      <w:r>
        <w:rPr>
          <w:rFonts w:hint="eastAsia"/>
        </w:rPr>
        <w:t>succesvolle hersteltest van de databasebackups (restorebewijs);</w:t>
      </w:r>
    </w:p>
    <w:p w14:paraId="42431D92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MFA voor het afgesproken gemeentelijke identityprofiel;</w:t>
      </w:r>
    </w:p>
    <w:p w14:paraId="23D23977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onafhankelijke penetratietest met tenantisolatiescope en gesloten kritieke/high findings;</w:t>
      </w:r>
    </w:p>
    <w:p w14:paraId="52F35263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jaarlijkse onafhankelijke assurance volgens GIBIT artikel 38 of geaccepteerde equivalent;</w:t>
      </w:r>
    </w:p>
    <w:p w14:paraId="5BAC76BB" w14:textId="77777777" w:rsidR="009A78D3" w:rsidRDefault="004D42BC">
      <w:pPr>
        <w:pStyle w:val="ListBullet"/>
        <w:spacing w:after="40"/>
        <w:ind w:left="227"/>
        <w:rPr>
          <w:rFonts w:hint="eastAsia"/>
        </w:rPr>
      </w:pPr>
      <w:r>
        <w:t>extern bewijs van beroeps-/bedrijfsaansprakelijkheidsverzekering;</w:t>
      </w:r>
    </w:p>
    <w:p w14:paraId="0253CAD0" w14:textId="3D5803B6" w:rsidR="009A78D3" w:rsidRDefault="00BB5F73">
      <w:pPr>
        <w:pStyle w:val="ListBullet"/>
        <w:spacing w:after="40"/>
        <w:ind w:left="227"/>
        <w:rPr>
          <w:rFonts w:hint="eastAsia"/>
        </w:rPr>
      </w:pPr>
      <w:r>
        <w:rPr>
          <w:rFonts w:hint="eastAsia"/>
        </w:rPr>
        <w:t>volledige runtime-SBOM voor alle productiecomponenten, niet alleen backend/frontend.</w:t>
      </w:r>
    </w:p>
    <w:sectPr w:rsidR="009A78D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5D2F" w14:textId="77777777" w:rsidR="00CE6BBD" w:rsidRDefault="00CE6BB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1BDE0FC" w14:textId="77777777" w:rsidR="00CE6BBD" w:rsidRDefault="00CE6BB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17C7D" w14:textId="77777777" w:rsidR="00197AA1" w:rsidRDefault="00197AA1">
    <w:pPr>
      <w:pStyle w:val="Footer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6ABE7" w14:textId="62D42714" w:rsidR="009A78D3" w:rsidRDefault="004D42BC">
    <w:pPr>
      <w:pStyle w:val="Footer"/>
      <w:jc w:val="center"/>
      <w:rPr>
        <w:rFonts w:hint="eastAsia"/>
      </w:rPr>
    </w:pPr>
    <w:r>
      <w:rPr>
        <w:color w:val="6E6257"/>
        <w:sz w:val="14"/>
      </w:rPr>
      <w:t xml:space="preserve">Technische en organisatorische maatregelen (TOM's)  •  </w:t>
    </w:r>
    <w:r w:rsidR="00197AA1">
      <w:rPr>
        <w:color w:val="6E6257"/>
        <w:sz w:val="14"/>
      </w:rPr>
      <w:t>v1.1</w:t>
    </w:r>
    <w:r>
      <w:rPr>
        <w:color w:val="6E6257"/>
        <w:sz w:val="14"/>
      </w:rPr>
      <w:t xml:space="preserve">  •  </w:t>
    </w:r>
    <w:r>
      <w:fldChar w:fldCharType="begin"/>
    </w:r>
    <w:r>
      <w:instrText xml:space="preserve"> PAGE </w:instrText>
    </w:r>
    <w:r>
      <w:fldChar w:fldCharType="separate"/>
    </w:r>
    <w:r w:rsidR="00BB5F73">
      <w:rPr>
        <w:rFonts w:hint="eastAsia"/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712B" w14:textId="77777777" w:rsidR="00197AA1" w:rsidRDefault="00197AA1">
    <w:pPr>
      <w:pStyle w:val="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20A03" w14:textId="77777777" w:rsidR="00CE6BBD" w:rsidRDefault="00CE6BB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EC5661F" w14:textId="77777777" w:rsidR="00CE6BBD" w:rsidRDefault="00CE6BB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5D76" w14:textId="77777777" w:rsidR="00197AA1" w:rsidRDefault="00197AA1">
    <w:pPr>
      <w:pStyle w:val="Header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CE17" w14:textId="77777777" w:rsidR="009A78D3" w:rsidRDefault="004D42BC">
    <w:pPr>
      <w:jc w:val="right"/>
      <w:rPr>
        <w:rFonts w:hint="eastAsia"/>
      </w:rPr>
    </w:pPr>
    <w:r>
      <w:rPr>
        <w:b/>
        <w:color w:val="3A5A78"/>
        <w:sz w:val="15"/>
      </w:rPr>
      <w:t>SUMMA  /  COMPLIANCE &amp; TRUST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EF2E" w14:textId="77777777" w:rsidR="00197AA1" w:rsidRDefault="00197AA1">
    <w:pPr>
      <w:pStyle w:val="Head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5875583">
    <w:abstractNumId w:val="8"/>
  </w:num>
  <w:num w:numId="2" w16cid:durableId="365495440">
    <w:abstractNumId w:val="6"/>
  </w:num>
  <w:num w:numId="3" w16cid:durableId="1035041770">
    <w:abstractNumId w:val="5"/>
  </w:num>
  <w:num w:numId="4" w16cid:durableId="602230841">
    <w:abstractNumId w:val="4"/>
  </w:num>
  <w:num w:numId="5" w16cid:durableId="1816676874">
    <w:abstractNumId w:val="7"/>
  </w:num>
  <w:num w:numId="6" w16cid:durableId="388194538">
    <w:abstractNumId w:val="3"/>
  </w:num>
  <w:num w:numId="7" w16cid:durableId="2004776094">
    <w:abstractNumId w:val="2"/>
  </w:num>
  <w:num w:numId="8" w16cid:durableId="1348213378">
    <w:abstractNumId w:val="1"/>
  </w:num>
  <w:num w:numId="9" w16cid:durableId="142325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AA1"/>
    <w:rsid w:val="002835D1"/>
    <w:rsid w:val="0029639D"/>
    <w:rsid w:val="00326F90"/>
    <w:rsid w:val="004D42BC"/>
    <w:rsid w:val="009A78D3"/>
    <w:rsid w:val="00AA1D8D"/>
    <w:rsid w:val="00B47730"/>
    <w:rsid w:val="00BB5F73"/>
    <w:rsid w:val="00CB0664"/>
    <w:rsid w:val="00CE6BBD"/>
    <w:rsid w:val="00FC693F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7DA09"/>
  <w14:defaultImageDpi w14:val="300"/>
  <w15:docId w15:val="{8F5FD6FD-7A07-479D-97F5-3F73B161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A1008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A5A7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C896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3A5A7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Summa</dc:creator>
  <cp:keywords/>
  <dc:description/>
  <cp:lastModifiedBy>Camiel Schmeitz</cp:lastModifiedBy>
  <cp:revision>3</cp:revision>
  <dcterms:created xsi:type="dcterms:W3CDTF">2013-12-23T23:15:00Z</dcterms:created>
  <dcterms:modified xsi:type="dcterms:W3CDTF">2026-09-26T12:50:00Z</dcterms:modified>
  <cp:category/>
</cp:coreProperties>
</file>